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Attention – Needs-Based Core Competency Chart</w:t>
      </w:r>
    </w:p>
    <w:p/>
    <w:p>
      <w:pPr>
        <w:pStyle w:val="Heading2"/>
      </w:pPr>
      <w:r>
        <w:t>Sustained Attention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PAR1c, PAR2g, PAR3b, PAR4d, PAR5f, PAR6e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CRT1d, CRT2e, CRT3a, CRT4c, CRT5b, CRT6d</w:t>
            </w:r>
          </w:p>
        </w:tc>
      </w:tr>
    </w:tbl>
    <w:p/>
    <w:p>
      <w:pPr>
        <w:pStyle w:val="Heading2"/>
      </w:pPr>
      <w:r>
        <w:t>Selective Attention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CRT1b, CRT2c, CRT3d, CRT4a, CRT5d, CRT6i</w:t>
            </w:r>
          </w:p>
        </w:tc>
      </w:tr>
      <w:tr>
        <w:tc>
          <w:tcPr>
            <w:tcW w:type="dxa" w:w="4320"/>
          </w:tcPr>
          <w:p>
            <w:r>
              <w:t>Communication</w:t>
            </w:r>
          </w:p>
        </w:tc>
        <w:tc>
          <w:tcPr>
            <w:tcW w:type="dxa" w:w="4320"/>
          </w:tcPr>
          <w:p>
            <w:r>
              <w:t>COM1a, COM2d, COM3d, COM4f, COM5g, COM6f</w:t>
            </w:r>
          </w:p>
        </w:tc>
      </w:tr>
    </w:tbl>
    <w:p/>
    <w:p>
      <w:pPr>
        <w:pStyle w:val="Heading2"/>
      </w:pPr>
      <w:r>
        <w:t>Shifting Attention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CRT1d, CRT2h, CRT3b, CRT4d, CRT5e, CRT6c</w:t>
            </w:r>
          </w:p>
        </w:tc>
      </w:tr>
      <w:tr>
        <w:tc>
          <w:tcPr>
            <w:tcW w:type="dxa" w:w="4320"/>
          </w:tcPr>
          <w:p>
            <w:r>
              <w:t>Creative Thinking</w:t>
            </w:r>
          </w:p>
        </w:tc>
        <w:tc>
          <w:tcPr>
            <w:tcW w:type="dxa" w:w="4320"/>
          </w:tcPr>
          <w:p>
            <w:r>
              <w:t>CRE1a, CRE2c, CRE3b, CRE4d</w:t>
            </w:r>
          </w:p>
        </w:tc>
      </w:tr>
    </w:tbl>
    <w:p/>
    <w:p>
      <w:pPr>
        <w:pStyle w:val="Heading2"/>
      </w:pPr>
      <w:r>
        <w:t>Attention Regulation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PAR1c, PAR2d, PAR3c, PAR4g, PAR5g, PAR6i</w:t>
            </w:r>
          </w:p>
        </w:tc>
      </w:tr>
      <w:tr>
        <w:tc>
          <w:tcPr>
            <w:tcW w:type="dxa" w:w="4320"/>
          </w:tcPr>
          <w:p>
            <w:r>
              <w:t>Social Awareness &amp; Responsibility</w:t>
            </w:r>
          </w:p>
        </w:tc>
        <w:tc>
          <w:tcPr>
            <w:tcW w:type="dxa" w:w="4320"/>
          </w:tcPr>
          <w:p>
            <w:r>
              <w:t>SAR1d, SAR2f, SAR3b, SAR4a</w:t>
            </w:r>
          </w:p>
        </w:tc>
      </w:tr>
    </w:tbl>
    <w:p/>
    <w:p>
      <w:pPr>
        <w:pStyle w:val="Heading2"/>
      </w:pPr>
      <w:r>
        <w:t>Re-Engagement &amp; Persistence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BC Core Competencies</w:t>
            </w:r>
          </w:p>
        </w:tc>
        <w:tc>
          <w:tcPr>
            <w:tcW w:type="dxa" w:w="4320"/>
          </w:tcPr>
          <w:p>
            <w:r>
              <w:t>I Can Sub-Goals (Profiles 1–6)</w:t>
            </w:r>
          </w:p>
        </w:tc>
      </w:tr>
      <w:tr>
        <w:tc>
          <w:tcPr>
            <w:tcW w:type="dxa" w:w="4320"/>
          </w:tcPr>
          <w:p>
            <w:r>
              <w:t>Personal Awareness &amp; Responsibility</w:t>
            </w:r>
          </w:p>
        </w:tc>
        <w:tc>
          <w:tcPr>
            <w:tcW w:type="dxa" w:w="4320"/>
          </w:tcPr>
          <w:p>
            <w:r>
              <w:t>PAR1a, PAR2b–2e, PAR3a, PAR4f, PAR5g, PAR6b</w:t>
            </w:r>
          </w:p>
        </w:tc>
      </w:tr>
      <w:tr>
        <w:tc>
          <w:tcPr>
            <w:tcW w:type="dxa" w:w="4320"/>
          </w:tcPr>
          <w:p>
            <w:r>
              <w:t>Critical &amp; Reflective Thinking</w:t>
            </w:r>
          </w:p>
        </w:tc>
        <w:tc>
          <w:tcPr>
            <w:tcW w:type="dxa" w:w="4320"/>
          </w:tcPr>
          <w:p>
            <w:r>
              <w:t>CRT2i, CRT3h, CRT4f, CRT5g, CRT6i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