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Expressive Communication – Needs-Based Core Competency Chart</w:t>
      </w:r>
    </w:p>
    <w:p/>
    <w:p>
      <w:pPr>
        <w:pStyle w:val="Heading2"/>
      </w:pPr>
      <w:r>
        <w:t>Expressive Vocabulary &amp; Idea Generation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Communication</w:t>
            </w:r>
          </w:p>
        </w:tc>
        <w:tc>
          <w:tcPr>
            <w:tcW w:type="dxa" w:w="4320"/>
          </w:tcPr>
          <w:p>
            <w:r>
              <w:t>COM1a, COM2a–2d, COM3a–3e, COM4a–4f, COM5a–5h, COM6a–6f</w:t>
            </w:r>
          </w:p>
        </w:tc>
      </w:tr>
      <w:tr>
        <w:tc>
          <w:tcPr>
            <w:tcW w:type="dxa" w:w="4320"/>
          </w:tcPr>
          <w:p>
            <w:r>
              <w:t>Creative Thinking</w:t>
            </w:r>
          </w:p>
        </w:tc>
        <w:tc>
          <w:tcPr>
            <w:tcW w:type="dxa" w:w="4320"/>
          </w:tcPr>
          <w:p>
            <w:r>
              <w:t>CRE1a–1b, CRE2a–2d, CRE3a–3c, CRE4a–4d, CRE5a–5e, CRE6a–6c</w:t>
            </w:r>
          </w:p>
        </w:tc>
      </w:tr>
    </w:tbl>
    <w:p/>
    <w:p>
      <w:pPr>
        <w:pStyle w:val="Heading2"/>
      </w:pPr>
      <w:r>
        <w:t>Clarity, Structure &amp; Form of Communication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Communication</w:t>
            </w:r>
          </w:p>
        </w:tc>
        <w:tc>
          <w:tcPr>
            <w:tcW w:type="dxa" w:w="4320"/>
          </w:tcPr>
          <w:p>
            <w:r>
              <w:t>COM2b–2d, COM3c–3e, COM4c–4f, COM5d–5f, COM6d–6f</w:t>
            </w:r>
          </w:p>
        </w:tc>
      </w:tr>
      <w:tr>
        <w:tc>
          <w:tcPr>
            <w:tcW w:type="dxa" w:w="4320"/>
          </w:tcPr>
          <w:p>
            <w:r>
              <w:t>Critical &amp; Reflective Thinking</w:t>
            </w:r>
          </w:p>
        </w:tc>
        <w:tc>
          <w:tcPr>
            <w:tcW w:type="dxa" w:w="4320"/>
          </w:tcPr>
          <w:p>
            <w:r>
              <w:t>CRT2f–2i, CRT3d–3g, CRT4c–4f, CRT5a–5g, CRT6a–6i</w:t>
            </w:r>
          </w:p>
        </w:tc>
      </w:tr>
    </w:tbl>
    <w:p/>
    <w:p>
      <w:pPr>
        <w:pStyle w:val="Heading2"/>
      </w:pPr>
      <w:r>
        <w:t>Nonverbal &amp; Multimodal Expression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Communication</w:t>
            </w:r>
          </w:p>
        </w:tc>
        <w:tc>
          <w:tcPr>
            <w:tcW w:type="dxa" w:w="4320"/>
          </w:tcPr>
          <w:p>
            <w:r>
              <w:t>COM1a, COM2a–2b, COM3a–3b, COM4a–4b, COM5d, COM6c</w:t>
            </w:r>
          </w:p>
        </w:tc>
      </w:tr>
      <w:tr>
        <w:tc>
          <w:tcPr>
            <w:tcW w:type="dxa" w:w="4320"/>
          </w:tcPr>
          <w:p>
            <w:r>
              <w:t>Positive Personal &amp; Cultural Identity</w:t>
            </w:r>
          </w:p>
        </w:tc>
        <w:tc>
          <w:tcPr>
            <w:tcW w:type="dxa" w:w="4320"/>
          </w:tcPr>
          <w:p>
            <w:r>
              <w:t>PPC1a–1c, PPC2a–2d, PPC3a–3c, PPC4a–4c, PPC5a–5c, PPC6a–6c</w:t>
            </w:r>
          </w:p>
        </w:tc>
      </w:tr>
    </w:tbl>
    <w:p/>
    <w:p>
      <w:pPr>
        <w:pStyle w:val="Heading2"/>
      </w:pPr>
      <w:r>
        <w:t>Purposeful &amp; Audience-Aware Communication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Communication</w:t>
            </w:r>
          </w:p>
        </w:tc>
        <w:tc>
          <w:tcPr>
            <w:tcW w:type="dxa" w:w="4320"/>
          </w:tcPr>
          <w:p>
            <w:r>
              <w:t>COM2b–2c, COM3c–3e, COM4d–4f, COM5d–5g, COM6c–6e</w:t>
            </w:r>
          </w:p>
        </w:tc>
      </w:tr>
      <w:tr>
        <w:tc>
          <w:tcPr>
            <w:tcW w:type="dxa" w:w="4320"/>
          </w:tcPr>
          <w:p>
            <w:r>
              <w:t>Critical &amp; Reflective Thinking</w:t>
            </w:r>
          </w:p>
        </w:tc>
        <w:tc>
          <w:tcPr>
            <w:tcW w:type="dxa" w:w="4320"/>
          </w:tcPr>
          <w:p>
            <w:r>
              <w:t>CRT3e–3h, CRT4d–4f, CRT5b–5e, CRT6c–6g</w:t>
            </w:r>
          </w:p>
        </w:tc>
      </w:tr>
    </w:tbl>
    <w:p/>
    <w:p>
      <w:pPr>
        <w:pStyle w:val="Heading2"/>
      </w:pPr>
      <w:r>
        <w:t>Advocacy Through Expression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Personal Awareness &amp; Responsibility</w:t>
            </w:r>
          </w:p>
        </w:tc>
        <w:tc>
          <w:tcPr>
            <w:tcW w:type="dxa" w:w="4320"/>
          </w:tcPr>
          <w:p>
            <w:r>
              <w:t>PAR1b, PAR2f–2h, PAR3f, PAR4b–4c, PAR5a–5h, PAR6c–6g</w:t>
            </w:r>
          </w:p>
        </w:tc>
      </w:tr>
      <w:tr>
        <w:tc>
          <w:tcPr>
            <w:tcW w:type="dxa" w:w="4320"/>
          </w:tcPr>
          <w:p>
            <w:r>
              <w:t>Social Awareness &amp; Responsibility</w:t>
            </w:r>
          </w:p>
        </w:tc>
        <w:tc>
          <w:tcPr>
            <w:tcW w:type="dxa" w:w="4320"/>
          </w:tcPr>
          <w:p>
            <w:r>
              <w:t>SAR1d–1e, SAR2f–2h, SAR3e, SAR4d, SAR5e–5h, SAR6d–6e</w:t>
            </w:r>
          </w:p>
        </w:tc>
      </w:tr>
    </w:tbl>
    <w:p/>
    <w:p>
      <w:pPr>
        <w:pStyle w:val="Heading2"/>
      </w:pPr>
      <w:r>
        <w:t>Conversational Skills &amp; Social Communication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BC Core Competencies</w:t>
            </w:r>
          </w:p>
        </w:tc>
        <w:tc>
          <w:tcPr>
            <w:tcW w:type="dxa" w:w="4320"/>
          </w:tcPr>
          <w:p>
            <w:r>
              <w:t>I Can Sub-Goals (Profiles 1–6)</w:t>
            </w:r>
          </w:p>
        </w:tc>
      </w:tr>
      <w:tr>
        <w:tc>
          <w:tcPr>
            <w:tcW w:type="dxa" w:w="4320"/>
          </w:tcPr>
          <w:p>
            <w:r>
              <w:t>Communication</w:t>
            </w:r>
          </w:p>
        </w:tc>
        <w:tc>
          <w:tcPr>
            <w:tcW w:type="dxa" w:w="4320"/>
          </w:tcPr>
          <w:p>
            <w:r>
              <w:t>COM1a, COM2a–2d, COM3a–3b, COM4a–4c, COM5a–5c, COM6a–6b</w:t>
            </w:r>
          </w:p>
        </w:tc>
      </w:tr>
      <w:tr>
        <w:tc>
          <w:tcPr>
            <w:tcW w:type="dxa" w:w="4320"/>
          </w:tcPr>
          <w:p>
            <w:r>
              <w:t>Collaboration</w:t>
            </w:r>
          </w:p>
        </w:tc>
        <w:tc>
          <w:tcPr>
            <w:tcW w:type="dxa" w:w="4320"/>
          </w:tcPr>
          <w:p>
            <w:r>
              <w:t>COL1a, COL2a–2d, COL3a–3d, COL4a–4i, COL5a–5f, COL6a–6g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