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11" w:type="dxa"/>
        <w:tblLook w:val="04A0" w:firstRow="1" w:lastRow="0" w:firstColumn="1" w:lastColumn="0" w:noHBand="0" w:noVBand="1"/>
      </w:tblPr>
      <w:tblGrid>
        <w:gridCol w:w="4111"/>
        <w:gridCol w:w="6379"/>
        <w:gridCol w:w="3921"/>
      </w:tblGrid>
      <w:tr w:rsidR="006B3266" w:rsidRPr="00BA221B" w14:paraId="369D9180" w14:textId="77777777" w:rsidTr="006B3266">
        <w:trPr>
          <w:trHeight w:val="504"/>
        </w:trPr>
        <w:tc>
          <w:tcPr>
            <w:tcW w:w="1441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94C7E7E" w14:textId="0B40B0A2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  <w:r w:rsidRPr="00BA221B">
              <w:rPr>
                <w:b/>
                <w:bCs/>
                <w:sz w:val="20"/>
                <w:szCs w:val="20"/>
              </w:rPr>
              <w:t>The Universal Design for Learning Guideline 3.0 in Plain Language: Engagement</w:t>
            </w:r>
          </w:p>
        </w:tc>
      </w:tr>
      <w:tr w:rsidR="006B3266" w:rsidRPr="00BA221B" w14:paraId="18B8BA85" w14:textId="77777777" w:rsidTr="00511127">
        <w:trPr>
          <w:trHeight w:val="504"/>
        </w:trPr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7200F2A7" w14:textId="74EFE680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  <w:r w:rsidRPr="00BA221B">
              <w:rPr>
                <w:b/>
                <w:bCs/>
                <w:sz w:val="20"/>
                <w:szCs w:val="20"/>
              </w:rPr>
              <w:t>UDL Language</w:t>
            </w:r>
          </w:p>
        </w:tc>
        <w:tc>
          <w:tcPr>
            <w:tcW w:w="6379" w:type="dxa"/>
            <w:shd w:val="clear" w:color="auto" w:fill="BFBFBF" w:themeFill="background1" w:themeFillShade="BF"/>
            <w:vAlign w:val="center"/>
          </w:tcPr>
          <w:p w14:paraId="2969E363" w14:textId="7091DB8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  <w:r w:rsidRPr="00BA221B">
              <w:rPr>
                <w:b/>
                <w:bCs/>
                <w:sz w:val="20"/>
                <w:szCs w:val="20"/>
              </w:rPr>
              <w:t>Plain Language</w:t>
            </w:r>
          </w:p>
        </w:tc>
        <w:tc>
          <w:tcPr>
            <w:tcW w:w="3921" w:type="dxa"/>
            <w:shd w:val="clear" w:color="auto" w:fill="BFBFBF" w:themeFill="background1" w:themeFillShade="BF"/>
            <w:vAlign w:val="center"/>
          </w:tcPr>
          <w:p w14:paraId="5E450409" w14:textId="73972D26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  <w:r w:rsidRPr="00BA221B">
              <w:rPr>
                <w:b/>
                <w:bCs/>
                <w:sz w:val="20"/>
                <w:szCs w:val="20"/>
              </w:rPr>
              <w:t>Examples</w:t>
            </w:r>
            <w:r w:rsidR="00BA221B">
              <w:rPr>
                <w:b/>
                <w:bCs/>
                <w:sz w:val="20"/>
                <w:szCs w:val="20"/>
              </w:rPr>
              <w:t xml:space="preserve"> of strategies</w:t>
            </w:r>
          </w:p>
        </w:tc>
      </w:tr>
      <w:tr w:rsidR="006B3266" w:rsidRPr="00BA221B" w14:paraId="48311690" w14:textId="77777777" w:rsidTr="00511127">
        <w:trPr>
          <w:trHeight w:val="504"/>
        </w:trPr>
        <w:tc>
          <w:tcPr>
            <w:tcW w:w="4111" w:type="dxa"/>
            <w:shd w:val="clear" w:color="auto" w:fill="088743"/>
            <w:vAlign w:val="center"/>
          </w:tcPr>
          <w:p w14:paraId="4D47E084" w14:textId="43E2941E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  <w:r w:rsidRPr="00BA221B">
              <w:rPr>
                <w:b/>
                <w:bCs/>
                <w:sz w:val="20"/>
                <w:szCs w:val="20"/>
              </w:rPr>
              <w:t>Design Multiple Means of Engagement</w:t>
            </w:r>
          </w:p>
        </w:tc>
        <w:tc>
          <w:tcPr>
            <w:tcW w:w="6379" w:type="dxa"/>
            <w:shd w:val="clear" w:color="auto" w:fill="088743"/>
            <w:vAlign w:val="center"/>
          </w:tcPr>
          <w:p w14:paraId="597D09CF" w14:textId="7777777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shd w:val="clear" w:color="auto" w:fill="088743"/>
            <w:vAlign w:val="center"/>
          </w:tcPr>
          <w:p w14:paraId="2CEE2C95" w14:textId="7777777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BA221B" w14:paraId="6B33744B" w14:textId="77777777" w:rsidTr="00511127">
        <w:trPr>
          <w:trHeight w:val="504"/>
        </w:trPr>
        <w:tc>
          <w:tcPr>
            <w:tcW w:w="4111" w:type="dxa"/>
            <w:shd w:val="clear" w:color="auto" w:fill="ADDBBE"/>
            <w:vAlign w:val="center"/>
          </w:tcPr>
          <w:p w14:paraId="22610523" w14:textId="547D70BE" w:rsidR="006B3266" w:rsidRPr="00BA221B" w:rsidRDefault="003A132E" w:rsidP="006B3266">
            <w:pPr>
              <w:rPr>
                <w:b/>
                <w:bCs/>
                <w:sz w:val="20"/>
                <w:szCs w:val="20"/>
              </w:rPr>
            </w:pPr>
            <w:r w:rsidRPr="00BA221B">
              <w:rPr>
                <w:b/>
                <w:bCs/>
                <w:sz w:val="20"/>
                <w:szCs w:val="20"/>
              </w:rPr>
              <w:t xml:space="preserve">Access: </w:t>
            </w:r>
            <w:r w:rsidR="006B3266" w:rsidRPr="00BA221B">
              <w:rPr>
                <w:b/>
                <w:bCs/>
                <w:sz w:val="20"/>
                <w:szCs w:val="20"/>
              </w:rPr>
              <w:t>Design options for Welcoming Interests and Identities</w:t>
            </w:r>
          </w:p>
        </w:tc>
        <w:tc>
          <w:tcPr>
            <w:tcW w:w="6379" w:type="dxa"/>
            <w:shd w:val="clear" w:color="auto" w:fill="ADDBBE"/>
            <w:vAlign w:val="center"/>
          </w:tcPr>
          <w:p w14:paraId="7F0ED877" w14:textId="7777777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1" w:type="dxa"/>
            <w:shd w:val="clear" w:color="auto" w:fill="ADDBBE"/>
            <w:vAlign w:val="center"/>
          </w:tcPr>
          <w:p w14:paraId="77935BBE" w14:textId="7777777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BA221B" w14:paraId="370749A8" w14:textId="77777777" w:rsidTr="00511127">
        <w:trPr>
          <w:trHeight w:val="504"/>
        </w:trPr>
        <w:tc>
          <w:tcPr>
            <w:tcW w:w="4111" w:type="dxa"/>
            <w:vAlign w:val="center"/>
          </w:tcPr>
          <w:p w14:paraId="362A56E2" w14:textId="709C1968" w:rsidR="006B3266" w:rsidRPr="00BA221B" w:rsidRDefault="006B3266" w:rsidP="006B3266">
            <w:pPr>
              <w:rPr>
                <w:sz w:val="20"/>
                <w:szCs w:val="20"/>
              </w:rPr>
            </w:pPr>
            <w:r w:rsidRPr="00BA221B">
              <w:rPr>
                <w:sz w:val="20"/>
                <w:szCs w:val="20"/>
                <w:lang w:val="en-US"/>
              </w:rPr>
              <w:t>Optimize choice and autonomy</w:t>
            </w:r>
          </w:p>
        </w:tc>
        <w:tc>
          <w:tcPr>
            <w:tcW w:w="6379" w:type="dxa"/>
            <w:vAlign w:val="center"/>
          </w:tcPr>
          <w:p w14:paraId="1153ECA7" w14:textId="5AB6C9BC" w:rsidR="006B3266" w:rsidRPr="00BA221B" w:rsidRDefault="006B3266" w:rsidP="006B3266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5BAA8042" w14:textId="77777777" w:rsidR="006B3266" w:rsidRPr="00BA221B" w:rsidRDefault="006B3266" w:rsidP="006B3266">
            <w:pPr>
              <w:rPr>
                <w:sz w:val="20"/>
                <w:szCs w:val="20"/>
              </w:rPr>
            </w:pPr>
          </w:p>
        </w:tc>
      </w:tr>
      <w:tr w:rsidR="006B3266" w:rsidRPr="00BA221B" w14:paraId="27EC8123" w14:textId="77777777" w:rsidTr="00511127">
        <w:trPr>
          <w:trHeight w:val="504"/>
        </w:trPr>
        <w:tc>
          <w:tcPr>
            <w:tcW w:w="4111" w:type="dxa"/>
            <w:vAlign w:val="center"/>
          </w:tcPr>
          <w:p w14:paraId="259AD975" w14:textId="0D5971DB" w:rsidR="006B3266" w:rsidRPr="00BA221B" w:rsidRDefault="006B3266" w:rsidP="006B3266">
            <w:pPr>
              <w:tabs>
                <w:tab w:val="left" w:pos="3780"/>
              </w:tabs>
              <w:rPr>
                <w:sz w:val="20"/>
                <w:szCs w:val="20"/>
                <w:lang w:val="en-US"/>
              </w:rPr>
            </w:pPr>
            <w:r w:rsidRPr="00BA221B">
              <w:rPr>
                <w:sz w:val="20"/>
                <w:szCs w:val="20"/>
                <w:lang w:val="en-US"/>
              </w:rPr>
              <w:t>Optimize relevance, value, and authenticity</w:t>
            </w:r>
          </w:p>
        </w:tc>
        <w:tc>
          <w:tcPr>
            <w:tcW w:w="6379" w:type="dxa"/>
            <w:vAlign w:val="center"/>
          </w:tcPr>
          <w:p w14:paraId="40953060" w14:textId="31661421" w:rsidR="006B3266" w:rsidRPr="00BA221B" w:rsidRDefault="006B3266" w:rsidP="006B3266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366DA8AB" w14:textId="7777777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BA221B" w14:paraId="43C5526E" w14:textId="77777777" w:rsidTr="00511127">
        <w:trPr>
          <w:trHeight w:val="504"/>
        </w:trPr>
        <w:tc>
          <w:tcPr>
            <w:tcW w:w="4111" w:type="dxa"/>
            <w:vAlign w:val="center"/>
          </w:tcPr>
          <w:p w14:paraId="618B2179" w14:textId="7BBE42E1" w:rsidR="006B3266" w:rsidRPr="00BA221B" w:rsidRDefault="006B3266" w:rsidP="006B3266">
            <w:pPr>
              <w:rPr>
                <w:sz w:val="20"/>
                <w:szCs w:val="20"/>
                <w:lang w:val="en-US"/>
              </w:rPr>
            </w:pPr>
            <w:r w:rsidRPr="00BA221B">
              <w:rPr>
                <w:sz w:val="20"/>
                <w:szCs w:val="20"/>
                <w:lang w:val="en-US"/>
              </w:rPr>
              <w:t>Nurture joy and play</w:t>
            </w:r>
          </w:p>
        </w:tc>
        <w:tc>
          <w:tcPr>
            <w:tcW w:w="6379" w:type="dxa"/>
            <w:vAlign w:val="center"/>
          </w:tcPr>
          <w:p w14:paraId="31900DC7" w14:textId="341EFFDE" w:rsidR="006B3266" w:rsidRPr="00BA221B" w:rsidRDefault="006B3266" w:rsidP="006B3266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E6D5791" w14:textId="7777777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BA221B" w14:paraId="4667356D" w14:textId="77777777" w:rsidTr="00511127">
        <w:trPr>
          <w:trHeight w:val="504"/>
        </w:trPr>
        <w:tc>
          <w:tcPr>
            <w:tcW w:w="4111" w:type="dxa"/>
            <w:vAlign w:val="center"/>
          </w:tcPr>
          <w:p w14:paraId="71028F9E" w14:textId="7A055876" w:rsidR="006B3266" w:rsidRPr="00BA221B" w:rsidRDefault="006B3266" w:rsidP="006B3266">
            <w:pPr>
              <w:rPr>
                <w:sz w:val="20"/>
                <w:szCs w:val="20"/>
                <w:lang w:val="en-US"/>
              </w:rPr>
            </w:pPr>
            <w:r w:rsidRPr="00BA221B">
              <w:rPr>
                <w:sz w:val="20"/>
                <w:szCs w:val="20"/>
                <w:lang w:val="en-US"/>
              </w:rPr>
              <w:t>Address biases, threats, and distractions</w:t>
            </w:r>
          </w:p>
        </w:tc>
        <w:tc>
          <w:tcPr>
            <w:tcW w:w="6379" w:type="dxa"/>
            <w:vAlign w:val="center"/>
          </w:tcPr>
          <w:p w14:paraId="0A4C83FB" w14:textId="244AC53C" w:rsidR="006B3266" w:rsidRPr="00BA221B" w:rsidRDefault="006B3266" w:rsidP="006B3266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346FF718" w14:textId="7777777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BA221B" w14:paraId="564650FA" w14:textId="77777777" w:rsidTr="00511127">
        <w:trPr>
          <w:trHeight w:val="504"/>
        </w:trPr>
        <w:tc>
          <w:tcPr>
            <w:tcW w:w="4111" w:type="dxa"/>
            <w:shd w:val="clear" w:color="auto" w:fill="ADDBBE"/>
            <w:vAlign w:val="center"/>
          </w:tcPr>
          <w:p w14:paraId="77F87D3A" w14:textId="1641A1AD" w:rsidR="006B3266" w:rsidRPr="00BA221B" w:rsidRDefault="003A132E" w:rsidP="006B326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A221B">
              <w:rPr>
                <w:b/>
                <w:bCs/>
                <w:sz w:val="20"/>
                <w:szCs w:val="20"/>
                <w:lang w:val="en-US"/>
              </w:rPr>
              <w:t xml:space="preserve">Support: </w:t>
            </w:r>
            <w:r w:rsidR="006B3266" w:rsidRPr="00BA221B">
              <w:rPr>
                <w:b/>
                <w:bCs/>
                <w:sz w:val="20"/>
                <w:szCs w:val="20"/>
                <w:lang w:val="en-US"/>
              </w:rPr>
              <w:t>Design Options for</w:t>
            </w:r>
          </w:p>
          <w:p w14:paraId="373D6AA7" w14:textId="12E90598" w:rsidR="006B3266" w:rsidRPr="00BA221B" w:rsidRDefault="006B3266" w:rsidP="006B326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A221B">
              <w:rPr>
                <w:b/>
                <w:bCs/>
                <w:sz w:val="20"/>
                <w:szCs w:val="20"/>
                <w:lang w:val="en-US"/>
              </w:rPr>
              <w:t>Sustaining Effort &amp; Persistence</w:t>
            </w:r>
          </w:p>
        </w:tc>
        <w:tc>
          <w:tcPr>
            <w:tcW w:w="6379" w:type="dxa"/>
            <w:shd w:val="clear" w:color="auto" w:fill="ADDBBE"/>
            <w:vAlign w:val="center"/>
          </w:tcPr>
          <w:p w14:paraId="4A3163DB" w14:textId="77777777" w:rsidR="006B3266" w:rsidRPr="00BA221B" w:rsidRDefault="006B3266" w:rsidP="006B3266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shd w:val="clear" w:color="auto" w:fill="ADDBBE"/>
            <w:vAlign w:val="center"/>
          </w:tcPr>
          <w:p w14:paraId="63D0A492" w14:textId="7777777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BA221B" w14:paraId="4F42FEB6" w14:textId="77777777" w:rsidTr="00511127">
        <w:trPr>
          <w:trHeight w:val="504"/>
        </w:trPr>
        <w:tc>
          <w:tcPr>
            <w:tcW w:w="4111" w:type="dxa"/>
            <w:vAlign w:val="center"/>
          </w:tcPr>
          <w:p w14:paraId="77AEC9B8" w14:textId="3214F1F1" w:rsidR="006B3266" w:rsidRPr="00BA221B" w:rsidRDefault="006B3266" w:rsidP="006B3266">
            <w:pPr>
              <w:rPr>
                <w:sz w:val="20"/>
                <w:szCs w:val="20"/>
                <w:lang w:val="en-US"/>
              </w:rPr>
            </w:pPr>
            <w:r w:rsidRPr="00BA221B">
              <w:rPr>
                <w:sz w:val="20"/>
                <w:szCs w:val="20"/>
                <w:lang w:val="en-US"/>
              </w:rPr>
              <w:t>Clarify the meaning and purpose of goals</w:t>
            </w:r>
          </w:p>
        </w:tc>
        <w:tc>
          <w:tcPr>
            <w:tcW w:w="6379" w:type="dxa"/>
            <w:vAlign w:val="center"/>
          </w:tcPr>
          <w:p w14:paraId="077D88B1" w14:textId="5E2D5ADC" w:rsidR="006B3266" w:rsidRPr="00BA221B" w:rsidRDefault="006B3266" w:rsidP="006B3266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5F1908A" w14:textId="7777777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BA221B" w14:paraId="6F3CD4F2" w14:textId="77777777" w:rsidTr="00511127">
        <w:trPr>
          <w:trHeight w:val="504"/>
        </w:trPr>
        <w:tc>
          <w:tcPr>
            <w:tcW w:w="4111" w:type="dxa"/>
            <w:vAlign w:val="center"/>
          </w:tcPr>
          <w:p w14:paraId="713EC1C0" w14:textId="14640909" w:rsidR="006B3266" w:rsidRPr="00BA221B" w:rsidRDefault="006B3266" w:rsidP="006B3266">
            <w:pPr>
              <w:tabs>
                <w:tab w:val="left" w:pos="3240"/>
              </w:tabs>
              <w:rPr>
                <w:sz w:val="20"/>
                <w:szCs w:val="20"/>
                <w:lang w:val="en-US"/>
              </w:rPr>
            </w:pPr>
            <w:r w:rsidRPr="00BA221B">
              <w:rPr>
                <w:sz w:val="20"/>
                <w:szCs w:val="20"/>
                <w:lang w:val="en-US"/>
              </w:rPr>
              <w:t>Optimize challenge and support</w:t>
            </w:r>
          </w:p>
        </w:tc>
        <w:tc>
          <w:tcPr>
            <w:tcW w:w="6379" w:type="dxa"/>
            <w:vAlign w:val="center"/>
          </w:tcPr>
          <w:p w14:paraId="0F9BE128" w14:textId="0D038C4E" w:rsidR="006B3266" w:rsidRPr="00BA221B" w:rsidRDefault="006B3266" w:rsidP="006B3266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6A197F7D" w14:textId="7777777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BA221B" w14:paraId="2BA1031D" w14:textId="77777777" w:rsidTr="00511127">
        <w:trPr>
          <w:trHeight w:val="504"/>
        </w:trPr>
        <w:tc>
          <w:tcPr>
            <w:tcW w:w="4111" w:type="dxa"/>
            <w:vAlign w:val="center"/>
          </w:tcPr>
          <w:p w14:paraId="5FF11B2A" w14:textId="14727A32" w:rsidR="006B3266" w:rsidRPr="00BA221B" w:rsidRDefault="006B3266" w:rsidP="006B3266">
            <w:pPr>
              <w:rPr>
                <w:sz w:val="20"/>
                <w:szCs w:val="20"/>
                <w:lang w:val="en-US"/>
              </w:rPr>
            </w:pPr>
            <w:r w:rsidRPr="00BA221B">
              <w:rPr>
                <w:sz w:val="20"/>
                <w:szCs w:val="20"/>
                <w:lang w:val="en-US"/>
              </w:rPr>
              <w:t>Foster collaboration, interdependence, and collective learning</w:t>
            </w:r>
          </w:p>
        </w:tc>
        <w:tc>
          <w:tcPr>
            <w:tcW w:w="6379" w:type="dxa"/>
            <w:vAlign w:val="center"/>
          </w:tcPr>
          <w:p w14:paraId="3FABF1A0" w14:textId="5C2A52C4" w:rsidR="006B3266" w:rsidRPr="00BA221B" w:rsidRDefault="006B3266" w:rsidP="006B3266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2615906" w14:textId="7777777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BA221B" w14:paraId="5F83E110" w14:textId="77777777" w:rsidTr="00511127">
        <w:trPr>
          <w:trHeight w:val="504"/>
        </w:trPr>
        <w:tc>
          <w:tcPr>
            <w:tcW w:w="4111" w:type="dxa"/>
            <w:vAlign w:val="center"/>
          </w:tcPr>
          <w:p w14:paraId="79426996" w14:textId="35FAF317" w:rsidR="006B3266" w:rsidRPr="00BA221B" w:rsidRDefault="006B3266" w:rsidP="006B3266">
            <w:pPr>
              <w:rPr>
                <w:sz w:val="20"/>
                <w:szCs w:val="20"/>
                <w:lang w:val="en-US"/>
              </w:rPr>
            </w:pPr>
            <w:r w:rsidRPr="00BA221B">
              <w:rPr>
                <w:sz w:val="20"/>
                <w:szCs w:val="20"/>
                <w:lang w:val="en-US"/>
              </w:rPr>
              <w:t>Foster belonging and community</w:t>
            </w:r>
          </w:p>
        </w:tc>
        <w:tc>
          <w:tcPr>
            <w:tcW w:w="6379" w:type="dxa"/>
            <w:vAlign w:val="center"/>
          </w:tcPr>
          <w:p w14:paraId="03D9A000" w14:textId="5EB61F83" w:rsidR="006B3266" w:rsidRPr="00BA221B" w:rsidRDefault="006B3266" w:rsidP="006B3266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EDBC0E5" w14:textId="7777777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BA221B" w14:paraId="3571667E" w14:textId="77777777" w:rsidTr="00511127">
        <w:trPr>
          <w:trHeight w:val="504"/>
        </w:trPr>
        <w:tc>
          <w:tcPr>
            <w:tcW w:w="4111" w:type="dxa"/>
            <w:vAlign w:val="center"/>
          </w:tcPr>
          <w:p w14:paraId="6207843A" w14:textId="198DDC37" w:rsidR="006B3266" w:rsidRPr="00BA221B" w:rsidRDefault="006B3266" w:rsidP="006B3266">
            <w:pPr>
              <w:rPr>
                <w:sz w:val="20"/>
                <w:szCs w:val="20"/>
                <w:lang w:val="en-US"/>
              </w:rPr>
            </w:pPr>
            <w:r w:rsidRPr="00BA221B">
              <w:rPr>
                <w:sz w:val="20"/>
                <w:szCs w:val="20"/>
                <w:lang w:val="en-US"/>
              </w:rPr>
              <w:t>Offer action-oriented feedback</w:t>
            </w:r>
          </w:p>
        </w:tc>
        <w:tc>
          <w:tcPr>
            <w:tcW w:w="6379" w:type="dxa"/>
            <w:vAlign w:val="center"/>
          </w:tcPr>
          <w:p w14:paraId="556888B9" w14:textId="0BE3DD87" w:rsidR="006B3266" w:rsidRPr="00BA221B" w:rsidRDefault="006B3266" w:rsidP="006B3266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6521160" w14:textId="7777777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BA221B" w14:paraId="0DDC44ED" w14:textId="77777777" w:rsidTr="00511127">
        <w:trPr>
          <w:trHeight w:val="504"/>
        </w:trPr>
        <w:tc>
          <w:tcPr>
            <w:tcW w:w="4111" w:type="dxa"/>
            <w:shd w:val="clear" w:color="auto" w:fill="ADDBBE"/>
            <w:vAlign w:val="center"/>
          </w:tcPr>
          <w:p w14:paraId="2AA314A8" w14:textId="6932B37F" w:rsidR="006B3266" w:rsidRPr="00BA221B" w:rsidRDefault="003A132E" w:rsidP="006B326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A221B">
              <w:rPr>
                <w:b/>
                <w:bCs/>
                <w:sz w:val="20"/>
                <w:szCs w:val="20"/>
                <w:lang w:val="en-US"/>
              </w:rPr>
              <w:t xml:space="preserve">Executive Function: </w:t>
            </w:r>
            <w:r w:rsidR="006B3266" w:rsidRPr="00BA221B">
              <w:rPr>
                <w:b/>
                <w:bCs/>
                <w:sz w:val="20"/>
                <w:szCs w:val="20"/>
                <w:lang w:val="en-US"/>
              </w:rPr>
              <w:t>Design Options for</w:t>
            </w:r>
          </w:p>
          <w:p w14:paraId="6864523A" w14:textId="4D5C3C09" w:rsidR="006B3266" w:rsidRPr="00BA221B" w:rsidRDefault="006B3266" w:rsidP="006B3266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A221B">
              <w:rPr>
                <w:b/>
                <w:bCs/>
                <w:sz w:val="20"/>
                <w:szCs w:val="20"/>
                <w:lang w:val="en-US"/>
              </w:rPr>
              <w:t>Emotional Capacity</w:t>
            </w:r>
          </w:p>
        </w:tc>
        <w:tc>
          <w:tcPr>
            <w:tcW w:w="6379" w:type="dxa"/>
            <w:shd w:val="clear" w:color="auto" w:fill="ADDBBE"/>
            <w:vAlign w:val="center"/>
          </w:tcPr>
          <w:p w14:paraId="6BB37726" w14:textId="77777777" w:rsidR="006B3266" w:rsidRPr="00BA221B" w:rsidRDefault="006B3266" w:rsidP="006B3266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shd w:val="clear" w:color="auto" w:fill="ADDBBE"/>
            <w:vAlign w:val="center"/>
          </w:tcPr>
          <w:p w14:paraId="5EEEE537" w14:textId="7777777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BA221B" w14:paraId="434BD4A2" w14:textId="77777777" w:rsidTr="00511127">
        <w:trPr>
          <w:trHeight w:val="504"/>
        </w:trPr>
        <w:tc>
          <w:tcPr>
            <w:tcW w:w="4111" w:type="dxa"/>
            <w:vAlign w:val="center"/>
          </w:tcPr>
          <w:p w14:paraId="6D0C80F4" w14:textId="6F25DDB3" w:rsidR="006B3266" w:rsidRPr="00BA221B" w:rsidRDefault="006B3266" w:rsidP="006B3266">
            <w:pPr>
              <w:rPr>
                <w:sz w:val="20"/>
                <w:szCs w:val="20"/>
                <w:lang w:val="en-US"/>
              </w:rPr>
            </w:pPr>
            <w:r w:rsidRPr="00BA221B">
              <w:rPr>
                <w:sz w:val="20"/>
                <w:szCs w:val="20"/>
                <w:lang w:val="en-US"/>
              </w:rPr>
              <w:t>Recognize expectations, beliefs, and motivations</w:t>
            </w:r>
          </w:p>
        </w:tc>
        <w:tc>
          <w:tcPr>
            <w:tcW w:w="6379" w:type="dxa"/>
            <w:vAlign w:val="center"/>
          </w:tcPr>
          <w:p w14:paraId="13BC0049" w14:textId="28FEC03A" w:rsidR="006B3266" w:rsidRPr="00BA221B" w:rsidRDefault="006B3266" w:rsidP="006B3266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E63BCB9" w14:textId="7777777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BA221B" w14:paraId="7CC79947" w14:textId="77777777" w:rsidTr="00511127">
        <w:trPr>
          <w:trHeight w:val="504"/>
        </w:trPr>
        <w:tc>
          <w:tcPr>
            <w:tcW w:w="4111" w:type="dxa"/>
            <w:vAlign w:val="center"/>
          </w:tcPr>
          <w:p w14:paraId="062E4B48" w14:textId="74245122" w:rsidR="006B3266" w:rsidRPr="00BA221B" w:rsidRDefault="006B3266" w:rsidP="006B3266">
            <w:pPr>
              <w:rPr>
                <w:sz w:val="20"/>
                <w:szCs w:val="20"/>
                <w:lang w:val="en-US"/>
              </w:rPr>
            </w:pPr>
            <w:r w:rsidRPr="00BA221B">
              <w:rPr>
                <w:sz w:val="20"/>
                <w:szCs w:val="20"/>
                <w:lang w:val="en-US"/>
              </w:rPr>
              <w:t>Develop awareness of self and others</w:t>
            </w:r>
          </w:p>
        </w:tc>
        <w:tc>
          <w:tcPr>
            <w:tcW w:w="6379" w:type="dxa"/>
            <w:vAlign w:val="center"/>
          </w:tcPr>
          <w:p w14:paraId="390ACEFD" w14:textId="502148F6" w:rsidR="006B3266" w:rsidRPr="00BA221B" w:rsidRDefault="006B3266" w:rsidP="006B3266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6EB3A4D6" w14:textId="7777777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BA221B" w14:paraId="2893933C" w14:textId="77777777" w:rsidTr="00511127">
        <w:trPr>
          <w:trHeight w:val="504"/>
        </w:trPr>
        <w:tc>
          <w:tcPr>
            <w:tcW w:w="4111" w:type="dxa"/>
            <w:vAlign w:val="center"/>
          </w:tcPr>
          <w:p w14:paraId="486F63CC" w14:textId="1E3948DD" w:rsidR="006B3266" w:rsidRPr="00BA221B" w:rsidRDefault="006B3266" w:rsidP="006B3266">
            <w:pPr>
              <w:tabs>
                <w:tab w:val="left" w:pos="3163"/>
              </w:tabs>
              <w:rPr>
                <w:sz w:val="20"/>
                <w:szCs w:val="20"/>
                <w:lang w:val="en-US"/>
              </w:rPr>
            </w:pPr>
            <w:r w:rsidRPr="00BA221B">
              <w:rPr>
                <w:sz w:val="20"/>
                <w:szCs w:val="20"/>
                <w:lang w:val="en-US"/>
              </w:rPr>
              <w:t>Promote individual and collective reflection</w:t>
            </w:r>
          </w:p>
        </w:tc>
        <w:tc>
          <w:tcPr>
            <w:tcW w:w="6379" w:type="dxa"/>
            <w:vAlign w:val="center"/>
          </w:tcPr>
          <w:p w14:paraId="7454730E" w14:textId="27F8E1AE" w:rsidR="006B3266" w:rsidRPr="00BA221B" w:rsidRDefault="006B3266" w:rsidP="006B3266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66CEDA24" w14:textId="7777777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3266" w:rsidRPr="00BA221B" w14:paraId="106C5478" w14:textId="77777777" w:rsidTr="00511127">
        <w:trPr>
          <w:trHeight w:val="504"/>
        </w:trPr>
        <w:tc>
          <w:tcPr>
            <w:tcW w:w="4111" w:type="dxa"/>
            <w:vAlign w:val="center"/>
          </w:tcPr>
          <w:p w14:paraId="09C35A8F" w14:textId="16ACFF89" w:rsidR="006B3266" w:rsidRPr="00BA221B" w:rsidRDefault="006B3266" w:rsidP="006B3266">
            <w:pPr>
              <w:tabs>
                <w:tab w:val="left" w:pos="3163"/>
              </w:tabs>
              <w:rPr>
                <w:sz w:val="20"/>
                <w:szCs w:val="20"/>
                <w:lang w:val="en-US"/>
              </w:rPr>
            </w:pPr>
            <w:r w:rsidRPr="00BA221B">
              <w:rPr>
                <w:sz w:val="20"/>
                <w:szCs w:val="20"/>
                <w:lang w:val="en-US"/>
              </w:rPr>
              <w:t>Cultivate empathy and restorative practices</w:t>
            </w:r>
          </w:p>
        </w:tc>
        <w:tc>
          <w:tcPr>
            <w:tcW w:w="6379" w:type="dxa"/>
            <w:vAlign w:val="center"/>
          </w:tcPr>
          <w:p w14:paraId="2675C5B7" w14:textId="11F6A1A9" w:rsidR="006B3266" w:rsidRPr="00BA221B" w:rsidRDefault="006B3266" w:rsidP="006B3266">
            <w:pPr>
              <w:rPr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9D41A6F" w14:textId="77777777" w:rsidR="006B3266" w:rsidRPr="00BA221B" w:rsidRDefault="006B3266" w:rsidP="006B3266">
            <w:pPr>
              <w:rPr>
                <w:b/>
                <w:bCs/>
                <w:sz w:val="20"/>
                <w:szCs w:val="20"/>
              </w:rPr>
            </w:pPr>
          </w:p>
          <w:p w14:paraId="0F2EC5F0" w14:textId="77777777" w:rsidR="003A132E" w:rsidRPr="00BA221B" w:rsidRDefault="003A132E" w:rsidP="003A132E">
            <w:pPr>
              <w:rPr>
                <w:sz w:val="20"/>
                <w:szCs w:val="20"/>
              </w:rPr>
            </w:pPr>
          </w:p>
        </w:tc>
      </w:tr>
    </w:tbl>
    <w:p w14:paraId="7EC59BB8" w14:textId="77777777" w:rsidR="00F95A2E" w:rsidRDefault="00F95A2E"/>
    <w:sectPr w:rsidR="00F95A2E" w:rsidSect="006B3266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B4664" w14:textId="77777777" w:rsidR="00E81695" w:rsidRDefault="00E81695" w:rsidP="006B3266">
      <w:r>
        <w:separator/>
      </w:r>
    </w:p>
  </w:endnote>
  <w:endnote w:type="continuationSeparator" w:id="0">
    <w:p w14:paraId="2D80A352" w14:textId="77777777" w:rsidR="00E81695" w:rsidRDefault="00E81695" w:rsidP="006B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B776" w14:textId="0F35E690" w:rsidR="003A132E" w:rsidRPr="00BA221B" w:rsidRDefault="006B3266" w:rsidP="006B3266">
    <w:pPr>
      <w:rPr>
        <w:b/>
        <w:bCs/>
        <w:sz w:val="18"/>
        <w:szCs w:val="18"/>
      </w:rPr>
    </w:pPr>
    <w:r w:rsidRPr="00BA221B">
      <w:rPr>
        <w:b/>
        <w:bCs/>
        <w:sz w:val="18"/>
        <w:szCs w:val="18"/>
      </w:rPr>
      <w:t>The Universal Design for Learning Guideline 3.0 in Plain Language: Engagement</w:t>
    </w:r>
    <w:r w:rsidRPr="00BA221B">
      <w:rPr>
        <w:b/>
        <w:bCs/>
        <w:sz w:val="18"/>
        <w:szCs w:val="18"/>
      </w:rPr>
      <w:tab/>
    </w:r>
    <w:r w:rsidRPr="00BA221B">
      <w:rPr>
        <w:b/>
        <w:bCs/>
        <w:sz w:val="18"/>
        <w:szCs w:val="18"/>
      </w:rPr>
      <w:tab/>
    </w:r>
    <w:r w:rsidRPr="00BA221B">
      <w:rPr>
        <w:b/>
        <w:bCs/>
        <w:sz w:val="18"/>
        <w:szCs w:val="18"/>
      </w:rPr>
      <w:tab/>
    </w:r>
    <w:r w:rsidRPr="00BA221B">
      <w:rPr>
        <w:b/>
        <w:bCs/>
        <w:sz w:val="18"/>
        <w:szCs w:val="18"/>
      </w:rPr>
      <w:tab/>
      <w:t xml:space="preserve">                     </w:t>
    </w:r>
    <w:r w:rsidR="00BA221B">
      <w:rPr>
        <w:b/>
        <w:bCs/>
        <w:sz w:val="18"/>
        <w:szCs w:val="18"/>
      </w:rPr>
      <w:tab/>
    </w:r>
    <w:r w:rsidR="00BA221B">
      <w:rPr>
        <w:b/>
        <w:bCs/>
        <w:sz w:val="18"/>
        <w:szCs w:val="18"/>
      </w:rPr>
      <w:tab/>
    </w:r>
    <w:r w:rsidR="00BA221B">
      <w:rPr>
        <w:b/>
        <w:bCs/>
        <w:sz w:val="18"/>
        <w:szCs w:val="18"/>
      </w:rPr>
      <w:tab/>
    </w:r>
    <w:r w:rsidR="00BA221B">
      <w:rPr>
        <w:b/>
        <w:bCs/>
        <w:sz w:val="18"/>
        <w:szCs w:val="18"/>
      </w:rPr>
      <w:tab/>
      <w:t xml:space="preserve">       </w:t>
    </w:r>
    <w:r w:rsidRPr="00BA221B">
      <w:rPr>
        <w:b/>
        <w:bCs/>
        <w:sz w:val="18"/>
        <w:szCs w:val="18"/>
      </w:rPr>
      <w:t>Dr. Shelley Moore, 2024</w:t>
    </w:r>
  </w:p>
  <w:p w14:paraId="4150810B" w14:textId="06794D97" w:rsidR="003A132E" w:rsidRPr="00BA221B" w:rsidRDefault="003A132E" w:rsidP="006B3266">
    <w:pPr>
      <w:rPr>
        <w:b/>
        <w:bCs/>
        <w:sz w:val="18"/>
        <w:szCs w:val="18"/>
      </w:rPr>
    </w:pPr>
    <w:r w:rsidRPr="00BA221B">
      <w:rPr>
        <w:b/>
        <w:bCs/>
        <w:sz w:val="18"/>
        <w:szCs w:val="18"/>
        <w:lang w:val="en-US"/>
      </w:rPr>
      <w:t>CAST (2024)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0279" w14:textId="77777777" w:rsidR="00E81695" w:rsidRDefault="00E81695" w:rsidP="006B3266">
      <w:r>
        <w:separator/>
      </w:r>
    </w:p>
  </w:footnote>
  <w:footnote w:type="continuationSeparator" w:id="0">
    <w:p w14:paraId="6877A206" w14:textId="77777777" w:rsidR="00E81695" w:rsidRDefault="00E81695" w:rsidP="006B3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66"/>
    <w:rsid w:val="00102D98"/>
    <w:rsid w:val="00244786"/>
    <w:rsid w:val="003A132E"/>
    <w:rsid w:val="00403E5A"/>
    <w:rsid w:val="00421589"/>
    <w:rsid w:val="00511127"/>
    <w:rsid w:val="00512365"/>
    <w:rsid w:val="006911CC"/>
    <w:rsid w:val="0069527E"/>
    <w:rsid w:val="006954BA"/>
    <w:rsid w:val="00697A4D"/>
    <w:rsid w:val="006B3266"/>
    <w:rsid w:val="00735AE6"/>
    <w:rsid w:val="008A3CF5"/>
    <w:rsid w:val="008E1120"/>
    <w:rsid w:val="008E5698"/>
    <w:rsid w:val="00B0175F"/>
    <w:rsid w:val="00BA221B"/>
    <w:rsid w:val="00BE20E2"/>
    <w:rsid w:val="00D2623E"/>
    <w:rsid w:val="00E81695"/>
    <w:rsid w:val="00EB0329"/>
    <w:rsid w:val="00F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EE341"/>
  <w15:chartTrackingRefBased/>
  <w15:docId w15:val="{050139EF-AD9D-AF47-969F-3EBCD38E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2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2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2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2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2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2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2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2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3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2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266"/>
  </w:style>
  <w:style w:type="paragraph" w:styleId="Footer">
    <w:name w:val="footer"/>
    <w:basedOn w:val="Normal"/>
    <w:link w:val="FooterChar"/>
    <w:uiPriority w:val="99"/>
    <w:unhideWhenUsed/>
    <w:rsid w:val="006B32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6</cp:revision>
  <dcterms:created xsi:type="dcterms:W3CDTF">2024-11-26T18:39:00Z</dcterms:created>
  <dcterms:modified xsi:type="dcterms:W3CDTF">2025-12-10T19:57:00Z</dcterms:modified>
</cp:coreProperties>
</file>